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C" w:rsidRPr="00EC389C" w:rsidRDefault="001A011C" w:rsidP="00EC389C">
      <w:pPr>
        <w:spacing w:after="192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20"/>
          <w:szCs w:val="20"/>
          <w:lang w:eastAsia="ru-RU"/>
        </w:rPr>
        <w:t>Вниманию рабо</w:t>
      </w:r>
      <w:r w:rsidR="00EE3FB4" w:rsidRPr="00EC389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20"/>
          <w:szCs w:val="20"/>
          <w:lang w:eastAsia="ru-RU"/>
        </w:rPr>
        <w:t xml:space="preserve">тодателей и работающих граждан! </w:t>
      </w:r>
      <w:r w:rsidRPr="00EC389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20"/>
          <w:szCs w:val="20"/>
          <w:lang w:eastAsia="ru-RU"/>
        </w:rPr>
        <w:t>О представлении в Пенсионный фонд ежемесячной отчётности о работающих гражданах</w:t>
      </w:r>
    </w:p>
    <w:p w:rsidR="001A011C" w:rsidRPr="00EC389C" w:rsidRDefault="001A011C" w:rsidP="00EE3FB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С первого числа каждого месяца стартует отчетная кампания по приёму индивидуальных сведений персонифицированного учёта по форме СЗВ-М</w:t>
      </w:r>
      <w:r w:rsidR="006348B7"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 за предшествующий месяц. </w:t>
      </w:r>
      <w:r w:rsidR="00FF6C7C"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Около</w:t>
      </w:r>
      <w:r w:rsidR="006348B7"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 </w:t>
      </w: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6000 страхователей Кабардино-Балкарской Республики должны ежемесячно подавать сведения о работающих гражданах.</w:t>
      </w:r>
    </w:p>
    <w:p w:rsidR="001A011C" w:rsidRPr="00EC389C" w:rsidRDefault="001A011C" w:rsidP="00EE3FB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>С 1 января 2017 года крайний срок представления форм СЗВ-М был смещен на 5 дней: с 10-го на 15-е число следующего месяца после отчетного периода (ст. 11 Закона «О персонифицированном учете ПФР» от 01.01.1996г. № 27-ФЗ). В соответствии с этим страхователям необходимо представить отчёт по форме СЗВ-М за отчётный месяц не позднее 15 числа текущего месяца.</w:t>
      </w:r>
    </w:p>
    <w:tbl>
      <w:tblPr>
        <w:tblW w:w="8788" w:type="dxa"/>
        <w:tblInd w:w="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8"/>
        <w:gridCol w:w="4050"/>
      </w:tblGrid>
      <w:tr w:rsidR="00FF6C7C" w:rsidRPr="00EC389C" w:rsidTr="00FF6C7C"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1A011C" w:rsidRPr="00EC389C" w:rsidRDefault="001A011C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1A011C" w:rsidRPr="00EC389C" w:rsidRDefault="001A011C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Срок сдачи СЗВ-М</w:t>
            </w:r>
          </w:p>
        </w:tc>
      </w:tr>
      <w:tr w:rsidR="00FF6C7C" w:rsidRPr="00EC389C" w:rsidTr="00FF6C7C"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4035E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июль 2018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970A7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15 августа 2018</w:t>
            </w:r>
          </w:p>
        </w:tc>
      </w:tr>
      <w:tr w:rsidR="00FF6C7C" w:rsidRPr="00EC389C" w:rsidTr="00FF6C7C"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август 2018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203DD3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203DD3"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 xml:space="preserve"> сентября 2018</w:t>
            </w:r>
          </w:p>
        </w:tc>
      </w:tr>
      <w:tr w:rsidR="00FF6C7C" w:rsidRPr="00EC389C" w:rsidTr="00FF6C7C"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сентябрь 2018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970A7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15 октября 2018</w:t>
            </w:r>
          </w:p>
        </w:tc>
      </w:tr>
      <w:tr w:rsidR="00FF6C7C" w:rsidRPr="00EC389C" w:rsidTr="00FF6C7C"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октябрь 2018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970A7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15 ноября 2018</w:t>
            </w:r>
          </w:p>
        </w:tc>
      </w:tr>
      <w:tr w:rsidR="00FF6C7C" w:rsidRPr="00EC389C" w:rsidTr="00FF6C7C"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ноябрь 2018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203DD3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203DD3"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 xml:space="preserve"> декабря 2018</w:t>
            </w:r>
          </w:p>
        </w:tc>
      </w:tr>
      <w:tr w:rsidR="00FF6C7C" w:rsidRPr="00EC389C" w:rsidTr="00FF6C7C">
        <w:trPr>
          <w:trHeight w:val="558"/>
        </w:trPr>
        <w:tc>
          <w:tcPr>
            <w:tcW w:w="473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EE3FB4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декабрь 2018</w:t>
            </w:r>
          </w:p>
        </w:tc>
        <w:tc>
          <w:tcPr>
            <w:tcW w:w="4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035EA" w:rsidRPr="00EC389C" w:rsidRDefault="004035EA" w:rsidP="00203DD3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ru-RU"/>
              </w:rPr>
            </w:pP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 xml:space="preserve">15 </w:t>
            </w:r>
            <w:r w:rsidR="00203DD3"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янва</w:t>
            </w:r>
            <w:r w:rsidRPr="00EC389C">
              <w:rPr>
                <w:rFonts w:ascii="Arial" w:eastAsia="Times New Roman" w:hAnsi="Arial" w:cs="Arial"/>
                <w:iCs/>
                <w:color w:val="595959" w:themeColor="text1" w:themeTint="A6"/>
                <w:sz w:val="20"/>
                <w:szCs w:val="20"/>
                <w:bdr w:val="none" w:sz="0" w:space="0" w:color="auto" w:frame="1"/>
                <w:lang w:eastAsia="ru-RU"/>
              </w:rPr>
              <w:t>ря 2018</w:t>
            </w:r>
          </w:p>
        </w:tc>
      </w:tr>
    </w:tbl>
    <w:p w:rsidR="00EC389C" w:rsidRDefault="001A011C" w:rsidP="00EC389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>В таблице приведены предельные сроки сдачи отчетности в</w:t>
      </w:r>
      <w:r w:rsidR="0066317B"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>о</w:t>
      </w:r>
      <w:r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 xml:space="preserve"> </w:t>
      </w:r>
      <w:r w:rsidR="0066317B"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>втором</w:t>
      </w:r>
      <w:r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 xml:space="preserve"> полугодии 2018 года. На практике желательно сдать отчетность раньше. Ведь отчетная форма предусматривает возможности подачи дополнений, которые также нужно успеть сдать до предельного срока. Например, если кто-то из работников или граждан, получающих доход по договорам гражданско-правового характера, оказался не включен в отчет, работодатель, без последствий для себя, может сдать его данные в дополнительной форме СЗВ-М. Но только до истечения установленного срока.</w:t>
      </w:r>
    </w:p>
    <w:p w:rsidR="001A011C" w:rsidRPr="00EC389C" w:rsidRDefault="001A011C" w:rsidP="00EC389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Сдать СЗВ-М должны все работодатели-страхователи. В частности:</w:t>
      </w:r>
    </w:p>
    <w:p w:rsidR="0033641D" w:rsidRPr="00EC389C" w:rsidRDefault="0033641D" w:rsidP="0033641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hAnsi="Arial" w:cs="Arial"/>
          <w:color w:val="595959" w:themeColor="text1" w:themeTint="A6"/>
          <w:sz w:val="20"/>
          <w:szCs w:val="20"/>
        </w:rPr>
        <w:t>организации,</w:t>
      </w:r>
    </w:p>
    <w:p w:rsidR="0033641D" w:rsidRPr="00EC389C" w:rsidRDefault="0033641D" w:rsidP="0033641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компании и их подразделения</w:t>
      </w:r>
      <w:r w:rsidR="003F54A3"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,</w:t>
      </w:r>
    </w:p>
    <w:p w:rsidR="0033641D" w:rsidRPr="00EC389C" w:rsidRDefault="0033641D" w:rsidP="00FF6C7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color w:val="595959" w:themeColor="text1" w:themeTint="A6"/>
          <w:sz w:val="20"/>
          <w:szCs w:val="20"/>
        </w:rPr>
      </w:pPr>
      <w:proofErr w:type="gramStart"/>
      <w:r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частные предприниматели, адвокаты, детективы, нотариусы (у которых есть работники или подрядчики)</w:t>
      </w:r>
      <w:r w:rsidR="003F54A3"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,</w:t>
      </w:r>
      <w:r w:rsidR="00FF6C7C"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 </w:t>
      </w:r>
      <w:r w:rsidR="003F54A3" w:rsidRPr="00EC389C">
        <w:rPr>
          <w:rFonts w:ascii="Arial" w:hAnsi="Arial" w:cs="Arial"/>
          <w:color w:val="595959" w:themeColor="text1" w:themeTint="A6"/>
          <w:sz w:val="20"/>
          <w:szCs w:val="20"/>
        </w:rPr>
        <w:t xml:space="preserve">т.е. все </w:t>
      </w:r>
      <w:r w:rsidRPr="00EC389C">
        <w:rPr>
          <w:rFonts w:ascii="Arial" w:hAnsi="Arial" w:cs="Arial"/>
          <w:color w:val="595959" w:themeColor="text1" w:themeTint="A6"/>
          <w:sz w:val="20"/>
          <w:szCs w:val="20"/>
        </w:rPr>
        <w:t>зарегистрированные в ПФР в качестве страхователя по обязательному пенсионному страхованию, обязаны представлять отчетность по форме СЗВ-М в отношении всех застрахованных лиц, состоящих с ней в трудовых отношениях, в том числе руководителей организации, являющихся единственными участниками (учредителями), членами организации, собственниками имущества.</w:t>
      </w:r>
      <w:proofErr w:type="gramEnd"/>
    </w:p>
    <w:p w:rsidR="001A011C" w:rsidRPr="00EC389C" w:rsidRDefault="001A011C" w:rsidP="00EE3FB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>В составе формы СЗВ-М за месяц должна быть отражена информация обо всех застрахованных лицах, которые с 01 по 31 (последнюю дату месяца) выполняли работу на основании трудовых соглашений. И не имеет значения:</w:t>
      </w:r>
    </w:p>
    <w:p w:rsidR="00EE3FB4" w:rsidRPr="00EC389C" w:rsidRDefault="001A011C" w:rsidP="00EE3FB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вёл ли страхователь (индивидуальный предприниматель-работодатель) по факту деятельность в указанном месяце;</w:t>
      </w:r>
    </w:p>
    <w:p w:rsidR="001A011C" w:rsidRPr="00EC389C" w:rsidRDefault="001A011C" w:rsidP="00EE3FB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lastRenderedPageBreak/>
        <w:t>были ли в этом месяце начисления и выплаты в адрес застрахованного лица, если трудовой договор не расторгнут.</w:t>
      </w:r>
    </w:p>
    <w:p w:rsidR="001A011C" w:rsidRPr="00EC389C" w:rsidRDefault="001A011C" w:rsidP="00EE3FB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</w:pPr>
      <w:r w:rsidRPr="00EC389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  <w:t>Представляются сведения СЗВ-М и на застрахованных лиц, которые выполняли работы (оказывали услуги) по договорам гражданско-правового характера. Таких внештатных работников тоже следует включить в отчётность.</w:t>
      </w:r>
    </w:p>
    <w:p w:rsidR="001A011C" w:rsidRPr="00EC389C" w:rsidRDefault="001A011C" w:rsidP="00EE3FB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*ВАЖНО УЧИТЫВАТЬ: За несвоевременную сдачу сведений территориальные управления ГУ-ОПФР по КБР применяет к страхователям финансовые санкции. Размер санкций - 500 рублей за каждого сотрудника, сведения о котором несвоевременно</w:t>
      </w:r>
      <w:r w:rsidR="002F584C"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,</w:t>
      </w: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 </w:t>
      </w:r>
      <w:r w:rsidR="002F584C"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неполно и (или) недостоверно </w:t>
      </w: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представлены по форме СЗВ-М.</w:t>
      </w:r>
    </w:p>
    <w:p w:rsidR="001A011C" w:rsidRPr="00EC389C" w:rsidRDefault="001A011C" w:rsidP="00EE3FB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Предусмотрены санкции за представление недостоверных сведений - 500 рублей за каждого сотрудника с недостоверными сведениями, а также штраф за неверный способ представления - 1000 рублей, в случае если страхователь представит форму СЗВ-М на 25 и более человек на бумажном носителе.</w:t>
      </w:r>
    </w:p>
    <w:p w:rsidR="001A011C" w:rsidRDefault="001A011C" w:rsidP="00EE3FB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В соответствии со ст.15.33.2 Кодекса Российской Федерации об административных правонарушениях от 30.12.2001 №195-ФЗ </w:t>
      </w:r>
      <w:proofErr w:type="gramStart"/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накладывается административный штраф</w:t>
      </w:r>
      <w:proofErr w:type="gramEnd"/>
      <w:r w:rsidRPr="00EC389C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 xml:space="preserve"> на должностных лиц в размере от 300 до 500 рублей за непредставление в установленный срок либо представление неполных и (или) недостоверных сведений. Размер штрафа определяется судом.</w:t>
      </w:r>
    </w:p>
    <w:p w:rsidR="00EC389C" w:rsidRDefault="00EC389C" w:rsidP="00EE3FB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</w:pPr>
    </w:p>
    <w:p w:rsidR="00EC389C" w:rsidRPr="00EC389C" w:rsidRDefault="00EC389C" w:rsidP="00EE3FB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ru-RU"/>
        </w:rPr>
      </w:pPr>
    </w:p>
    <w:p w:rsidR="00EC389C" w:rsidRDefault="001A011C" w:rsidP="00EC389C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</w:pPr>
      <w:r w:rsidRPr="00EC389C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> </w:t>
      </w:r>
      <w:r w:rsidR="00EC389C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 xml:space="preserve">Заместитель начальника управления – </w:t>
      </w:r>
    </w:p>
    <w:p w:rsidR="00EC389C" w:rsidRDefault="00EC389C" w:rsidP="00EC389C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 xml:space="preserve">руководитель группы ПУ и </w:t>
      </w:r>
      <w:proofErr w:type="gramStart"/>
      <w:r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>ВС</w:t>
      </w:r>
      <w:proofErr w:type="gramEnd"/>
      <w:r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EC389C" w:rsidRDefault="00EC389C" w:rsidP="00EC389C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 xml:space="preserve">УПФР ГУ-ОПФР по КБР в Лескенском районе </w:t>
      </w:r>
    </w:p>
    <w:p w:rsidR="001A011C" w:rsidRDefault="00EC389C" w:rsidP="00EC389C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t>Карданов Х.М.</w:t>
      </w:r>
    </w:p>
    <w:p w:rsidR="00EC389C" w:rsidRPr="00EC389C" w:rsidRDefault="00EC389C" w:rsidP="00EC389C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ru-RU"/>
        </w:rPr>
      </w:pPr>
    </w:p>
    <w:sectPr w:rsidR="00EC389C" w:rsidRPr="00EC389C" w:rsidSect="00EE3FB4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607D"/>
    <w:multiLevelType w:val="multilevel"/>
    <w:tmpl w:val="C36E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46538"/>
    <w:multiLevelType w:val="multilevel"/>
    <w:tmpl w:val="CBDA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11C"/>
    <w:rsid w:val="00137151"/>
    <w:rsid w:val="001A011C"/>
    <w:rsid w:val="00203DD3"/>
    <w:rsid w:val="002F584C"/>
    <w:rsid w:val="0033641D"/>
    <w:rsid w:val="003F54A3"/>
    <w:rsid w:val="004035EA"/>
    <w:rsid w:val="006348B7"/>
    <w:rsid w:val="0066317B"/>
    <w:rsid w:val="00692C82"/>
    <w:rsid w:val="006B3527"/>
    <w:rsid w:val="00CE1BF2"/>
    <w:rsid w:val="00E1659D"/>
    <w:rsid w:val="00EC389C"/>
    <w:rsid w:val="00EE3FB4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Деунежева Анжела Хаутиевна</cp:lastModifiedBy>
  <cp:revision>19</cp:revision>
  <cp:lastPrinted>2018-10-25T11:45:00Z</cp:lastPrinted>
  <dcterms:created xsi:type="dcterms:W3CDTF">2018-07-25T08:48:00Z</dcterms:created>
  <dcterms:modified xsi:type="dcterms:W3CDTF">2018-10-25T11:46:00Z</dcterms:modified>
</cp:coreProperties>
</file>